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8" w:rsidRPr="00576258" w:rsidRDefault="00576258" w:rsidP="002A1CE0">
      <w:pPr>
        <w:spacing w:line="276" w:lineRule="auto"/>
        <w:jc w:val="center"/>
        <w:rPr>
          <w:b/>
          <w:bCs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76258">
        <w:rPr>
          <w:b/>
          <w:bCs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KIẾN THỨC CẦN NHỚ</w:t>
      </w:r>
    </w:p>
    <w:p w:rsidR="00A4052F" w:rsidRPr="00576258" w:rsidRDefault="00D01D39" w:rsidP="002A1CE0">
      <w:pPr>
        <w:spacing w:line="276" w:lineRule="auto"/>
        <w:jc w:val="center"/>
        <w:rPr>
          <w:b/>
          <w:b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76258">
        <w:rPr>
          <w:b/>
          <w:b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CHƯƠNG </w:t>
      </w:r>
      <w:r w:rsidR="00B40051" w:rsidRPr="00576258">
        <w:rPr>
          <w:b/>
          <w:b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KHÚC XẠ ÁNH SÁNG</w:t>
      </w:r>
    </w:p>
    <w:p w:rsidR="00B40051" w:rsidRPr="002A1CE0" w:rsidRDefault="00B40051" w:rsidP="002A1CE0">
      <w:pPr>
        <w:spacing w:line="276" w:lineRule="auto"/>
        <w:rPr>
          <w:b/>
          <w:bCs/>
          <w:color w:val="0000FF"/>
        </w:rPr>
      </w:pPr>
      <w:r w:rsidRPr="002A1CE0">
        <w:rPr>
          <w:b/>
          <w:bCs/>
          <w:color w:val="0000FF"/>
        </w:rPr>
        <w:t>1. Khúc xạ ánh sáng</w:t>
      </w:r>
    </w:p>
    <w:p w:rsidR="00E67FD5" w:rsidRDefault="00B40051" w:rsidP="002A1CE0">
      <w:pPr>
        <w:spacing w:line="276" w:lineRule="auto"/>
      </w:pPr>
      <w:r>
        <w:rPr>
          <w:b/>
          <w:bCs/>
        </w:rPr>
        <w:t xml:space="preserve">Khúc xạ ánh sáng </w:t>
      </w:r>
      <w:r>
        <w:t>là hiện tượng lệch phương của các tia sáng khi truyền xiên góc qua mặt phân cách giữa hai môi trường trong suốt khác nhau.</w:t>
      </w:r>
    </w:p>
    <w:p w:rsidR="00B40051" w:rsidRDefault="00B40051" w:rsidP="002A1CE0">
      <w:pPr>
        <w:spacing w:line="276" w:lineRule="auto"/>
        <w:rPr>
          <w:b/>
          <w:bCs/>
        </w:rPr>
      </w:pPr>
      <w:r>
        <w:rPr>
          <w:b/>
          <w:bCs/>
        </w:rPr>
        <w:t>Định luật khúc xạ ánh sáng:</w:t>
      </w:r>
    </w:p>
    <w:p w:rsidR="00B40051" w:rsidRDefault="00B40051" w:rsidP="002A1CE0">
      <w:pPr>
        <w:spacing w:line="276" w:lineRule="auto"/>
      </w:pPr>
      <w:r>
        <w:t>Với hai môi trường trong suốt nhất định, tỉ số giữa sin góc tới (</w:t>
      </w:r>
      <w:r w:rsidRPr="00227D64">
        <w:rPr>
          <w:position w:val="-6"/>
        </w:rPr>
        <w:object w:dxaOrig="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4.25pt" o:ole="">
            <v:imagedata r:id="rId8" o:title=""/>
          </v:shape>
          <o:OLEObject Type="Embed" ProgID="Equation.DSMT4" ShapeID="_x0000_i1025" DrawAspect="Content" ObjectID="_1706612943" r:id="rId9"/>
        </w:object>
      </w:r>
      <w:r>
        <w:t>) và sin góc khúc xạ (</w:t>
      </w:r>
      <w:r w:rsidRPr="00227D64">
        <w:rPr>
          <w:position w:val="-6"/>
        </w:rPr>
        <w:object w:dxaOrig="499" w:dyaOrig="279">
          <v:shape id="_x0000_i1026" type="#_x0000_t75" style="width:24.75pt;height:14.25pt" o:ole="">
            <v:imagedata r:id="rId10" o:title=""/>
          </v:shape>
          <o:OLEObject Type="Embed" ProgID="Equation.DSMT4" ShapeID="_x0000_i1026" DrawAspect="Content" ObjectID="_1706612944" r:id="rId11"/>
        </w:object>
      </w:r>
      <w:r>
        <w:t xml:space="preserve">) là một hằng số: </w:t>
      </w:r>
      <w:r w:rsidRPr="00227D64">
        <w:rPr>
          <w:position w:val="-24"/>
        </w:rPr>
        <w:object w:dxaOrig="720" w:dyaOrig="620">
          <v:shape id="_x0000_i1027" type="#_x0000_t75" style="width:36pt;height:30.75pt" o:ole="">
            <v:imagedata r:id="rId12" o:title=""/>
          </v:shape>
          <o:OLEObject Type="Embed" ProgID="Equation.DSMT4" ShapeID="_x0000_i1027" DrawAspect="Content" ObjectID="_1706612945" r:id="rId13"/>
        </w:object>
      </w:r>
      <w:r>
        <w:t xml:space="preserve"> hằng số.</w:t>
      </w:r>
    </w:p>
    <w:p w:rsidR="00B40051" w:rsidRDefault="00B40051" w:rsidP="002A1CE0">
      <w:pPr>
        <w:spacing w:line="276" w:lineRule="auto"/>
      </w:pPr>
      <w:r>
        <w:rPr>
          <w:b/>
          <w:bCs/>
        </w:rPr>
        <w:t xml:space="preserve">Chiết suất tỉ đối: </w:t>
      </w:r>
      <w:r>
        <w:t xml:space="preserve">tỉ số không đổi </w:t>
      </w:r>
      <w:r w:rsidRPr="00227D64">
        <w:rPr>
          <w:position w:val="-24"/>
        </w:rPr>
        <w:object w:dxaOrig="540" w:dyaOrig="620">
          <v:shape id="_x0000_i1028" type="#_x0000_t75" style="width:27pt;height:30.75pt" o:ole="">
            <v:imagedata r:id="rId14" o:title=""/>
          </v:shape>
          <o:OLEObject Type="Embed" ProgID="Equation.DSMT4" ShapeID="_x0000_i1028" DrawAspect="Content" ObjectID="_1706612946" r:id="rId15"/>
        </w:object>
      </w:r>
      <w:r>
        <w:t xml:space="preserve"> trong hiện tượng khúc xạ được gọi là chiết suất tỉ đối </w:t>
      </w:r>
      <w:r w:rsidRPr="00227D64">
        <w:rPr>
          <w:position w:val="-12"/>
        </w:rPr>
        <w:object w:dxaOrig="320" w:dyaOrig="360">
          <v:shape id="_x0000_i1029" type="#_x0000_t75" style="width:15.75pt;height:18pt" o:ole="">
            <v:imagedata r:id="rId16" o:title=""/>
          </v:shape>
          <o:OLEObject Type="Embed" ProgID="Equation.DSMT4" ShapeID="_x0000_i1029" DrawAspect="Content" ObjectID="_1706612947" r:id="rId17"/>
        </w:object>
      </w:r>
      <w:r>
        <w:t xml:space="preserve"> của môi trường 2 (chứa tia khúc xạ) đối với môi trường 1 (chứa tia tới): </w:t>
      </w:r>
      <w:r w:rsidRPr="00227D64">
        <w:rPr>
          <w:position w:val="-24"/>
        </w:rPr>
        <w:object w:dxaOrig="1020" w:dyaOrig="620">
          <v:shape id="_x0000_i1030" type="#_x0000_t75" style="width:51pt;height:30.75pt" o:ole="">
            <v:imagedata r:id="rId18" o:title=""/>
          </v:shape>
          <o:OLEObject Type="Embed" ProgID="Equation.DSMT4" ShapeID="_x0000_i1030" DrawAspect="Content" ObjectID="_1706612948" r:id="rId19"/>
        </w:object>
      </w:r>
    </w:p>
    <w:p w:rsidR="00B40051" w:rsidRDefault="00B40051" w:rsidP="002A1CE0">
      <w:pPr>
        <w:spacing w:line="276" w:lineRule="auto"/>
      </w:pPr>
      <w:r>
        <w:rPr>
          <w:b/>
          <w:bCs/>
        </w:rPr>
        <w:t xml:space="preserve">Chiết suất tuyệt đối </w:t>
      </w:r>
      <w:r>
        <w:t>(thường gọi tắt là chiết suất) của một môi trường là chiết suất tỉ đối của môi trường đó đối với chân không.</w:t>
      </w:r>
    </w:p>
    <w:p w:rsidR="00B40051" w:rsidRDefault="00B40051" w:rsidP="002A1CE0">
      <w:pPr>
        <w:spacing w:line="276" w:lineRule="auto"/>
      </w:pPr>
      <w:r>
        <w:rPr>
          <w:b/>
          <w:bCs/>
        </w:rPr>
        <w:t xml:space="preserve">Liên hệ giữa chiết suất tỉ đối và chiết suất tuyệt đối: </w:t>
      </w:r>
      <w:r w:rsidRPr="00227D64">
        <w:rPr>
          <w:position w:val="-30"/>
        </w:rPr>
        <w:object w:dxaOrig="840" w:dyaOrig="680">
          <v:shape id="_x0000_i1031" type="#_x0000_t75" style="width:42pt;height:33.75pt" o:ole="">
            <v:imagedata r:id="rId20" o:title=""/>
          </v:shape>
          <o:OLEObject Type="Embed" ProgID="Equation.DSMT4" ShapeID="_x0000_i1031" DrawAspect="Content" ObjectID="_1706612949" r:id="rId21"/>
        </w:object>
      </w:r>
    </w:p>
    <w:p w:rsidR="00B40051" w:rsidRDefault="00B40051" w:rsidP="002A1CE0">
      <w:pPr>
        <w:spacing w:line="276" w:lineRule="auto"/>
      </w:pPr>
      <w:r>
        <w:rPr>
          <w:b/>
          <w:bCs/>
        </w:rPr>
        <w:t xml:space="preserve">Biểu thức của định luật khúc xạ viết dạng khác: </w:t>
      </w:r>
      <w:r w:rsidR="00A51DB9" w:rsidRPr="00227D64">
        <w:rPr>
          <w:position w:val="-12"/>
        </w:rPr>
        <w:object w:dxaOrig="1579" w:dyaOrig="360">
          <v:shape id="_x0000_i1032" type="#_x0000_t75" style="width:78.75pt;height:18pt" o:ole="">
            <v:imagedata r:id="rId22" o:title=""/>
          </v:shape>
          <o:OLEObject Type="Embed" ProgID="Equation.DSMT4" ShapeID="_x0000_i1032" DrawAspect="Content" ObjectID="_1706612950" r:id="rId23"/>
        </w:object>
      </w:r>
      <w:r w:rsidR="00A51DB9">
        <w:t xml:space="preserve">; khi </w:t>
      </w:r>
      <w:r w:rsidR="00A51DB9" w:rsidRPr="00227D64">
        <w:rPr>
          <w:position w:val="-6"/>
        </w:rPr>
        <w:object w:dxaOrig="139" w:dyaOrig="260">
          <v:shape id="_x0000_i1033" type="#_x0000_t75" style="width:6.75pt;height:12.75pt" o:ole="">
            <v:imagedata r:id="rId24" o:title=""/>
          </v:shape>
          <o:OLEObject Type="Embed" ProgID="Equation.DSMT4" ShapeID="_x0000_i1033" DrawAspect="Content" ObjectID="_1706612951" r:id="rId25"/>
        </w:object>
      </w:r>
      <w:r w:rsidR="00A51DB9">
        <w:t xml:space="preserve"> và </w:t>
      </w:r>
      <w:r w:rsidR="00A51DB9" w:rsidRPr="00227D64">
        <w:rPr>
          <w:position w:val="-4"/>
        </w:rPr>
        <w:object w:dxaOrig="180" w:dyaOrig="200">
          <v:shape id="_x0000_i1034" type="#_x0000_t75" style="width:9pt;height:9.75pt" o:ole="">
            <v:imagedata r:id="rId26" o:title=""/>
          </v:shape>
          <o:OLEObject Type="Embed" ProgID="Equation.DSMT4" ShapeID="_x0000_i1034" DrawAspect="Content" ObjectID="_1706612952" r:id="rId27"/>
        </w:object>
      </w:r>
      <w:r w:rsidR="00A51DB9">
        <w:t xml:space="preserve"> rất nhỏ (nhỏ hơn </w:t>
      </w:r>
      <w:r w:rsidR="00A51DB9" w:rsidRPr="00227D64">
        <w:rPr>
          <w:position w:val="-6"/>
        </w:rPr>
        <w:object w:dxaOrig="380" w:dyaOrig="279">
          <v:shape id="_x0000_i1035" type="#_x0000_t75" style="width:18.75pt;height:14.25pt" o:ole="">
            <v:imagedata r:id="rId28" o:title=""/>
          </v:shape>
          <o:OLEObject Type="Embed" ProgID="Equation.DSMT4" ShapeID="_x0000_i1035" DrawAspect="Content" ObjectID="_1706612953" r:id="rId29"/>
        </w:object>
      </w:r>
      <w:r w:rsidR="00A51DB9">
        <w:t xml:space="preserve">) thì: </w:t>
      </w:r>
      <w:r w:rsidR="00A51DB9" w:rsidRPr="00227D64">
        <w:rPr>
          <w:position w:val="-12"/>
        </w:rPr>
        <w:object w:dxaOrig="859" w:dyaOrig="360">
          <v:shape id="_x0000_i1036" type="#_x0000_t75" style="width:42.75pt;height:18pt" o:ole="">
            <v:imagedata r:id="rId30" o:title=""/>
          </v:shape>
          <o:OLEObject Type="Embed" ProgID="Equation.DSMT4" ShapeID="_x0000_i1036" DrawAspect="Content" ObjectID="_1706612954" r:id="rId31"/>
        </w:object>
      </w:r>
    </w:p>
    <w:p w:rsidR="00A51DB9" w:rsidRDefault="00A51DB9" w:rsidP="002A1CE0">
      <w:pPr>
        <w:spacing w:line="276" w:lineRule="auto"/>
      </w:pPr>
      <w:r>
        <w:rPr>
          <w:b/>
          <w:bCs/>
        </w:rPr>
        <w:t xml:space="preserve">Tính chất thuận nghịch của sự truyền ánh sáng: </w:t>
      </w:r>
      <w:r>
        <w:t xml:space="preserve">Ánh sáng truyền đi theo đường nào thì cũng truyền ngược lại theo đường đó. Theo tính chất thuận nghịch về sự truyền ánh sáng ta có: </w:t>
      </w:r>
      <w:r w:rsidRPr="00227D64">
        <w:rPr>
          <w:position w:val="-30"/>
        </w:rPr>
        <w:object w:dxaOrig="900" w:dyaOrig="680">
          <v:shape id="_x0000_i1037" type="#_x0000_t75" style="width:45pt;height:33.75pt" o:ole="">
            <v:imagedata r:id="rId32" o:title=""/>
          </v:shape>
          <o:OLEObject Type="Embed" ProgID="Equation.DSMT4" ShapeID="_x0000_i1037" DrawAspect="Content" ObjectID="_1706612955" r:id="rId33"/>
        </w:object>
      </w:r>
    </w:p>
    <w:p w:rsidR="00A51DB9" w:rsidRPr="002A1CE0" w:rsidRDefault="00A51DB9" w:rsidP="002A1CE0">
      <w:pPr>
        <w:spacing w:line="276" w:lineRule="auto"/>
        <w:rPr>
          <w:b/>
          <w:bCs/>
          <w:color w:val="0000FF"/>
        </w:rPr>
      </w:pPr>
      <w:r w:rsidRPr="002A1CE0">
        <w:rPr>
          <w:b/>
          <w:bCs/>
          <w:color w:val="0000FF"/>
        </w:rPr>
        <w:t>2. Hiện tượng phản xạ toàn phần</w:t>
      </w:r>
    </w:p>
    <w:p w:rsidR="00E67FD5" w:rsidRDefault="00A51DB9" w:rsidP="002A1CE0">
      <w:pPr>
        <w:spacing w:line="276" w:lineRule="auto"/>
      </w:pPr>
      <w:r>
        <w:rPr>
          <w:b/>
          <w:bCs/>
        </w:rPr>
        <w:t xml:space="preserve">Phản xạ toàn phần </w:t>
      </w:r>
      <w:r>
        <w:t>là hiện tượng phản xạ toàn bộ ánh sáng tới, xảy ra ở mặt phân cách giữa hai môi trường trong suốt.</w:t>
      </w:r>
    </w:p>
    <w:p w:rsidR="00A51DB9" w:rsidRDefault="00A51DB9" w:rsidP="002A1CE0">
      <w:pPr>
        <w:spacing w:line="276" w:lineRule="auto"/>
        <w:rPr>
          <w:b/>
          <w:bCs/>
        </w:rPr>
      </w:pPr>
      <w:r>
        <w:rPr>
          <w:b/>
          <w:bCs/>
        </w:rPr>
        <w:t>Điều kiện để có phản xạ toàn phần:</w:t>
      </w:r>
    </w:p>
    <w:p w:rsidR="00A51DB9" w:rsidRDefault="00A51DB9" w:rsidP="002A1CE0">
      <w:pPr>
        <w:spacing w:line="276" w:lineRule="auto"/>
      </w:pPr>
      <w:r>
        <w:t xml:space="preserve">- Ánh sáng phải truyền từ một môi trường sang môi trường chiết quang kém hơn </w:t>
      </w:r>
      <w:r w:rsidRPr="00227D64">
        <w:rPr>
          <w:position w:val="-14"/>
        </w:rPr>
        <w:object w:dxaOrig="900" w:dyaOrig="400">
          <v:shape id="_x0000_i1038" type="#_x0000_t75" style="width:45pt;height:20.25pt" o:ole="">
            <v:imagedata r:id="rId34" o:title=""/>
          </v:shape>
          <o:OLEObject Type="Embed" ProgID="Equation.DSMT4" ShapeID="_x0000_i1038" DrawAspect="Content" ObjectID="_1706612956" r:id="rId35"/>
        </w:object>
      </w:r>
    </w:p>
    <w:p w:rsidR="00A51DB9" w:rsidRDefault="00A51DB9" w:rsidP="002A1CE0">
      <w:pPr>
        <w:spacing w:line="276" w:lineRule="auto"/>
      </w:pPr>
      <w:r>
        <w:t xml:space="preserve">- Góc tới lớn hơn hoặc bằng góc giới hạn: </w:t>
      </w:r>
      <w:r w:rsidRPr="00227D64">
        <w:rPr>
          <w:position w:val="-14"/>
        </w:rPr>
        <w:object w:dxaOrig="580" w:dyaOrig="380">
          <v:shape id="_x0000_i1039" type="#_x0000_t75" style="width:29.25pt;height:18.75pt" o:ole="">
            <v:imagedata r:id="rId36" o:title=""/>
          </v:shape>
          <o:OLEObject Type="Embed" ProgID="Equation.DSMT4" ShapeID="_x0000_i1039" DrawAspect="Content" ObjectID="_1706612957" r:id="rId37"/>
        </w:object>
      </w:r>
      <w:r>
        <w:t xml:space="preserve">; với </w:t>
      </w:r>
      <w:r w:rsidRPr="00227D64">
        <w:rPr>
          <w:position w:val="-30"/>
        </w:rPr>
        <w:object w:dxaOrig="1120" w:dyaOrig="680">
          <v:shape id="_x0000_i1040" type="#_x0000_t75" style="width:56.25pt;height:33.75pt" o:ole="">
            <v:imagedata r:id="rId38" o:title=""/>
          </v:shape>
          <o:OLEObject Type="Embed" ProgID="Equation.DSMT4" ShapeID="_x0000_i1040" DrawAspect="Content" ObjectID="_1706612958" r:id="rId39"/>
        </w:object>
      </w:r>
      <w:r>
        <w:t>.</w:t>
      </w:r>
    </w:p>
    <w:p w:rsidR="00A51DB9" w:rsidRDefault="00A51DB9" w:rsidP="002A1CE0">
      <w:pPr>
        <w:spacing w:line="276" w:lineRule="auto"/>
      </w:pPr>
      <w:r>
        <w:rPr>
          <w:b/>
          <w:bCs/>
        </w:rPr>
        <w:t xml:space="preserve">Cáp quang </w:t>
      </w:r>
      <w:r>
        <w:t>là bó sợ</w:t>
      </w:r>
      <w:r w:rsidR="00544177">
        <w:t>i qu</w:t>
      </w:r>
      <w:r>
        <w:t>a</w:t>
      </w:r>
      <w:r w:rsidR="00544177">
        <w:t>n</w:t>
      </w:r>
      <w:bookmarkStart w:id="0" w:name="_GoBack"/>
      <w:bookmarkEnd w:id="0"/>
      <w:r>
        <w:t>g. Mỗi sợi quang là một dây trong suốt có tính dẫn sáng nhờ phản xạ toàn phần.</w:t>
      </w:r>
    </w:p>
    <w:p w:rsidR="00A51DB9" w:rsidRDefault="00A51DB9" w:rsidP="002A1CE0">
      <w:pPr>
        <w:spacing w:line="276" w:lineRule="auto"/>
      </w:pPr>
      <w:r>
        <w:rPr>
          <w:b/>
          <w:bCs/>
        </w:rPr>
        <w:t xml:space="preserve">Sợi quang </w:t>
      </w:r>
      <w:r>
        <w:t xml:space="preserve">có lõi làm bằng thủy tinh siêu sạch có chiết suất lớn </w:t>
      </w:r>
      <w:r w:rsidRPr="00227D64">
        <w:rPr>
          <w:position w:val="-14"/>
        </w:rPr>
        <w:object w:dxaOrig="440" w:dyaOrig="400">
          <v:shape id="_x0000_i1041" type="#_x0000_t75" style="width:21.75pt;height:20.25pt" o:ole="">
            <v:imagedata r:id="rId40" o:title=""/>
          </v:shape>
          <o:OLEObject Type="Embed" ProgID="Equation.DSMT4" ShapeID="_x0000_i1041" DrawAspect="Content" ObjectID="_1706612959" r:id="rId41"/>
        </w:object>
      </w:r>
      <w:r>
        <w:t xml:space="preserve"> được bao quanh</w:t>
      </w:r>
      <w:r w:rsidR="00D65344">
        <w:t xml:space="preserve"> bởi</w:t>
      </w:r>
      <w:r>
        <w:t xml:space="preserve"> một lớp vỏ có chiết suất </w:t>
      </w:r>
      <w:r w:rsidRPr="00227D64">
        <w:rPr>
          <w:position w:val="-12"/>
        </w:rPr>
        <w:object w:dxaOrig="260" w:dyaOrig="360">
          <v:shape id="_x0000_i1042" type="#_x0000_t75" style="width:12.75pt;height:18pt" o:ole="">
            <v:imagedata r:id="rId42" o:title=""/>
          </v:shape>
          <o:OLEObject Type="Embed" ProgID="Equation.DSMT4" ShapeID="_x0000_i1042" DrawAspect="Content" ObjectID="_1706612960" r:id="rId43"/>
        </w:object>
      </w:r>
      <w:r>
        <w:t xml:space="preserve"> nhỏ hơn </w:t>
      </w:r>
      <w:r w:rsidRPr="00227D64">
        <w:rPr>
          <w:position w:val="-12"/>
        </w:rPr>
        <w:object w:dxaOrig="240" w:dyaOrig="360">
          <v:shape id="_x0000_i1043" type="#_x0000_t75" style="width:12pt;height:18pt" o:ole="">
            <v:imagedata r:id="rId44" o:title=""/>
          </v:shape>
          <o:OLEObject Type="Embed" ProgID="Equation.DSMT4" ShapeID="_x0000_i1043" DrawAspect="Content" ObjectID="_1706612961" r:id="rId45"/>
        </w:object>
      </w:r>
      <w:r>
        <w:t>. Phản xạ toàn phần xảy ra ở mặt phân cách giữa lõi và vỏ làm cho ánh sáng truyền đi được theo sợi qua</w:t>
      </w:r>
      <w:r w:rsidR="00D65344">
        <w:t>n</w:t>
      </w:r>
      <w:r>
        <w:t>g. Ngoài cùng là một lớp vỏ bọc bằng nhựa dẻo để tạo cho cáp có độ bền và độ dai cơ học.</w:t>
      </w:r>
    </w:p>
    <w:p w:rsidR="002A1CE0" w:rsidRDefault="002A1CE0" w:rsidP="002A1CE0">
      <w:pPr>
        <w:spacing w:line="276" w:lineRule="aut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67FD5" w:rsidTr="002A1CE0">
        <w:tc>
          <w:tcPr>
            <w:tcW w:w="10598" w:type="dxa"/>
            <w:shd w:val="clear" w:color="auto" w:fill="92D050"/>
          </w:tcPr>
          <w:p w:rsidR="00E67FD5" w:rsidRPr="00DC0538" w:rsidRDefault="00E67FD5" w:rsidP="002A1CE0">
            <w:pPr>
              <w:spacing w:line="276" w:lineRule="auto"/>
              <w:jc w:val="center"/>
              <w:rPr>
                <w:b/>
                <w:bCs/>
              </w:rPr>
            </w:pPr>
            <w:r w:rsidRPr="002A1CE0">
              <w:rPr>
                <w:b/>
                <w:bCs/>
                <w:color w:val="0000FF"/>
              </w:rPr>
              <w:t>Chú ý</w:t>
            </w:r>
          </w:p>
        </w:tc>
      </w:tr>
      <w:tr w:rsidR="00E67FD5" w:rsidTr="00762FF4">
        <w:tc>
          <w:tcPr>
            <w:tcW w:w="10598" w:type="dxa"/>
            <w:shd w:val="clear" w:color="auto" w:fill="auto"/>
          </w:tcPr>
          <w:p w:rsidR="00E67FD5" w:rsidRPr="00365221" w:rsidRDefault="00A51DB9" w:rsidP="002A1CE0">
            <w:pPr>
              <w:spacing w:line="276" w:lineRule="auto"/>
              <w:rPr>
                <w:color w:val="0070C0"/>
              </w:rPr>
            </w:pPr>
            <w:r w:rsidRPr="00365221">
              <w:rPr>
                <w:color w:val="0070C0"/>
              </w:rPr>
              <w:t>Cáp quang được ứng dụng vào việc truyền thông tin với nhiều ưu điểm: dung lượng tín hiệu lớn; nhỏ và nhẹ, dễ vận chuyển, dễ uốn; không bị nhiễu bởi các bức xạ điện từ bên ngoài; không có rủi ro cháy (vì không có dòng điện).</w:t>
            </w:r>
          </w:p>
          <w:p w:rsidR="00A51DB9" w:rsidRDefault="00A51DB9" w:rsidP="002A1CE0">
            <w:pPr>
              <w:spacing w:line="276" w:lineRule="auto"/>
            </w:pPr>
            <w:r w:rsidRPr="00365221">
              <w:rPr>
                <w:color w:val="0070C0"/>
              </w:rPr>
              <w:t>Trong y học, người ta dùng cáp quang để nội soi.</w:t>
            </w:r>
          </w:p>
        </w:tc>
      </w:tr>
    </w:tbl>
    <w:p w:rsidR="00E67FD5" w:rsidRPr="00E67FD5" w:rsidRDefault="00E67FD5" w:rsidP="002A1CE0">
      <w:pPr>
        <w:spacing w:line="276" w:lineRule="auto"/>
      </w:pPr>
    </w:p>
    <w:sectPr w:rsidR="00E67FD5" w:rsidRPr="00E67FD5" w:rsidSect="002A1CE0">
      <w:headerReference w:type="first" r:id="rId46"/>
      <w:footerReference w:type="first" r:id="rId47"/>
      <w:footerReference w:type="default" r:id="rId50"/>
      <w:headerReference w:type="default" r:id="rId51"/>
      <w:pgSz w:w="11909" w:h="16834" w:code="9"/>
      <w:pgMar w:top="360" w:right="850" w:bottom="630" w:left="850" w:header="173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4E" w:rsidRDefault="0086624E" w:rsidP="007E6204">
      <w:pPr>
        <w:spacing w:line="240" w:lineRule="auto"/>
      </w:pPr>
      <w:r>
        <w:separator/>
      </w:r>
    </w:p>
  </w:endnote>
  <w:endnote w:type="continuationSeparator" w:id="0">
    <w:p w:rsidR="0086624E" w:rsidRDefault="0086624E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E0" w:rsidRPr="002A1CE0" w:rsidRDefault="002A1CE0" w:rsidP="002A1CE0">
    <w:pPr>
      <w:tabs>
        <w:tab w:val="center" w:pos="4680"/>
        <w:tab w:val="right" w:pos="9360"/>
        <w:tab w:val="right" w:pos="10348"/>
      </w:tabs>
      <w:spacing w:line="240" w:lineRule="auto"/>
      <w:jc w:val="left"/>
      <w:rPr>
        <w:szCs w:val="24"/>
      </w:rPr>
    </w:pPr>
    <w:r w:rsidRPr="002A1CE0">
      <w:rPr>
        <w:b/>
        <w:color w:val="00B0F0"/>
        <w:szCs w:val="24"/>
        <w:lang w:val="nl-NL"/>
      </w:rPr>
      <w:t xml:space="preserve">                                                                    thuvienhoclieu</w:t>
    </w:r>
    <w:r w:rsidRPr="002A1CE0">
      <w:rPr>
        <w:b/>
        <w:color w:val="FF0000"/>
        <w:szCs w:val="24"/>
        <w:lang w:val="nl-NL"/>
      </w:rPr>
      <w:t xml:space="preserve">.com </w:t>
    </w:r>
    <w:r w:rsidRPr="002A1CE0">
      <w:rPr>
        <w:szCs w:val="24"/>
      </w:rPr>
      <w:tab/>
      <w:t xml:space="preserve">                                                </w:t>
    </w:r>
    <w:r w:rsidRPr="002A1CE0">
      <w:rPr>
        <w:b/>
        <w:color w:val="FF0000"/>
        <w:szCs w:val="24"/>
      </w:rPr>
      <w:t>Trang</w:t>
    </w:r>
    <w:r w:rsidRPr="002A1CE0">
      <w:rPr>
        <w:b/>
        <w:color w:val="0070C0"/>
        <w:szCs w:val="24"/>
      </w:rPr>
      <w:t xml:space="preserve"> </w:t>
    </w:r>
    <w:r w:rsidRPr="002A1CE0">
      <w:rPr>
        <w:b/>
        <w:color w:val="0070C0"/>
        <w:szCs w:val="24"/>
      </w:rPr>
      <w:fldChar w:fldCharType="begin"/>
    </w:r>
    <w:r w:rsidRPr="002A1CE0">
      <w:rPr>
        <w:b/>
        <w:color w:val="0070C0"/>
        <w:szCs w:val="24"/>
      </w:rPr>
      <w:instrText xml:space="preserve"> PAGE   \* MERGEFORMAT </w:instrText>
    </w:r>
    <w:r w:rsidRPr="002A1CE0">
      <w:rPr>
        <w:b/>
        <w:color w:val="0070C0"/>
        <w:szCs w:val="24"/>
      </w:rPr>
      <w:fldChar w:fldCharType="separate"/>
    </w:r>
    <w:r w:rsidR="00544177">
      <w:rPr>
        <w:b/>
        <w:noProof/>
        <w:color w:val="0070C0"/>
        <w:szCs w:val="24"/>
      </w:rPr>
      <w:t>1</w:t>
    </w:r>
    <w:r w:rsidRPr="002A1CE0">
      <w:rPr>
        <w:b/>
        <w:noProof/>
        <w:color w:val="0070C0"/>
        <w:szCs w:val="24"/>
      </w:rPr>
      <w:fldChar w:fldCharType="end"/>
    </w: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4E" w:rsidRDefault="0086624E" w:rsidP="007E6204">
      <w:pPr>
        <w:spacing w:line="240" w:lineRule="auto"/>
      </w:pPr>
      <w:r>
        <w:separator/>
      </w:r>
    </w:p>
  </w:footnote>
  <w:footnote w:type="continuationSeparator" w:id="0">
    <w:p w:rsidR="0086624E" w:rsidRDefault="0086624E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C0" w:rsidRDefault="002A1CE0" w:rsidP="002A1CE0">
    <w:pPr>
      <w:pStyle w:val="Header"/>
      <w:jc w:val="center"/>
    </w:pPr>
    <w:r w:rsidRPr="00C23854">
      <w:rPr>
        <w:b/>
        <w:color w:val="00B0F0"/>
        <w:lang w:val="nl-NL"/>
      </w:rPr>
      <w:t>thuvienhoclieu</w:t>
    </w:r>
    <w:r w:rsidRPr="00C23854">
      <w:rPr>
        <w:b/>
        <w:color w:val="FF0000"/>
        <w:lang w:val="nl-NL"/>
      </w:rPr>
      <w:t>.com</w:t>
    </w: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61331"/>
    <w:rsid w:val="00076858"/>
    <w:rsid w:val="000A2AF6"/>
    <w:rsid w:val="000A6217"/>
    <w:rsid w:val="000B245A"/>
    <w:rsid w:val="000B60E4"/>
    <w:rsid w:val="000C3A78"/>
    <w:rsid w:val="000C6931"/>
    <w:rsid w:val="00107ABA"/>
    <w:rsid w:val="00107D8D"/>
    <w:rsid w:val="001105B8"/>
    <w:rsid w:val="00116B5B"/>
    <w:rsid w:val="00157426"/>
    <w:rsid w:val="00165054"/>
    <w:rsid w:val="00183B39"/>
    <w:rsid w:val="001A0843"/>
    <w:rsid w:val="001B67CE"/>
    <w:rsid w:val="001F0C30"/>
    <w:rsid w:val="002033ED"/>
    <w:rsid w:val="00222902"/>
    <w:rsid w:val="00243D68"/>
    <w:rsid w:val="0026166B"/>
    <w:rsid w:val="00261693"/>
    <w:rsid w:val="00271A7A"/>
    <w:rsid w:val="00273002"/>
    <w:rsid w:val="0027395A"/>
    <w:rsid w:val="0028384B"/>
    <w:rsid w:val="00285C3D"/>
    <w:rsid w:val="00286FB5"/>
    <w:rsid w:val="002A1CE0"/>
    <w:rsid w:val="002B469D"/>
    <w:rsid w:val="002E0E1F"/>
    <w:rsid w:val="002E2BCD"/>
    <w:rsid w:val="002E5E45"/>
    <w:rsid w:val="00320957"/>
    <w:rsid w:val="0032289A"/>
    <w:rsid w:val="00335CD2"/>
    <w:rsid w:val="00336B7E"/>
    <w:rsid w:val="00365221"/>
    <w:rsid w:val="00367AB7"/>
    <w:rsid w:val="00372069"/>
    <w:rsid w:val="00392631"/>
    <w:rsid w:val="0039353E"/>
    <w:rsid w:val="003D5FAC"/>
    <w:rsid w:val="00410F6C"/>
    <w:rsid w:val="00434AAB"/>
    <w:rsid w:val="004B1B2E"/>
    <w:rsid w:val="004D1CA9"/>
    <w:rsid w:val="004D1FEF"/>
    <w:rsid w:val="004E0515"/>
    <w:rsid w:val="004F5BE7"/>
    <w:rsid w:val="004F5C41"/>
    <w:rsid w:val="005278C4"/>
    <w:rsid w:val="00544177"/>
    <w:rsid w:val="00560617"/>
    <w:rsid w:val="00561BA1"/>
    <w:rsid w:val="00576258"/>
    <w:rsid w:val="005852AA"/>
    <w:rsid w:val="0059456E"/>
    <w:rsid w:val="00596642"/>
    <w:rsid w:val="005A6C07"/>
    <w:rsid w:val="005A7E70"/>
    <w:rsid w:val="005B352E"/>
    <w:rsid w:val="005C3666"/>
    <w:rsid w:val="005E2A58"/>
    <w:rsid w:val="00606422"/>
    <w:rsid w:val="00623405"/>
    <w:rsid w:val="00625685"/>
    <w:rsid w:val="006A0DE4"/>
    <w:rsid w:val="00706030"/>
    <w:rsid w:val="00727732"/>
    <w:rsid w:val="00730A46"/>
    <w:rsid w:val="007459A9"/>
    <w:rsid w:val="007569B2"/>
    <w:rsid w:val="00762FF4"/>
    <w:rsid w:val="0077287D"/>
    <w:rsid w:val="0077571E"/>
    <w:rsid w:val="00795876"/>
    <w:rsid w:val="007A1D4B"/>
    <w:rsid w:val="007A371C"/>
    <w:rsid w:val="007D2315"/>
    <w:rsid w:val="007E5086"/>
    <w:rsid w:val="007E5171"/>
    <w:rsid w:val="007E6204"/>
    <w:rsid w:val="007F6225"/>
    <w:rsid w:val="007F796C"/>
    <w:rsid w:val="008063B3"/>
    <w:rsid w:val="008305C8"/>
    <w:rsid w:val="00835EEB"/>
    <w:rsid w:val="00837D6D"/>
    <w:rsid w:val="00844D88"/>
    <w:rsid w:val="0086624E"/>
    <w:rsid w:val="00871721"/>
    <w:rsid w:val="008928D6"/>
    <w:rsid w:val="008D1EBC"/>
    <w:rsid w:val="008E00D4"/>
    <w:rsid w:val="008F0B77"/>
    <w:rsid w:val="008F4330"/>
    <w:rsid w:val="009329B6"/>
    <w:rsid w:val="009419FE"/>
    <w:rsid w:val="00951CA2"/>
    <w:rsid w:val="009816BD"/>
    <w:rsid w:val="009A1740"/>
    <w:rsid w:val="009B03EA"/>
    <w:rsid w:val="009E0454"/>
    <w:rsid w:val="00A0283E"/>
    <w:rsid w:val="00A06227"/>
    <w:rsid w:val="00A267BD"/>
    <w:rsid w:val="00A315E7"/>
    <w:rsid w:val="00A36F90"/>
    <w:rsid w:val="00A4052F"/>
    <w:rsid w:val="00A417FA"/>
    <w:rsid w:val="00A51DB9"/>
    <w:rsid w:val="00A534E9"/>
    <w:rsid w:val="00A62638"/>
    <w:rsid w:val="00A709DC"/>
    <w:rsid w:val="00A82C5E"/>
    <w:rsid w:val="00A96D28"/>
    <w:rsid w:val="00AB3DC0"/>
    <w:rsid w:val="00AC41FF"/>
    <w:rsid w:val="00B00137"/>
    <w:rsid w:val="00B40051"/>
    <w:rsid w:val="00B57E41"/>
    <w:rsid w:val="00BA0D30"/>
    <w:rsid w:val="00BB03E4"/>
    <w:rsid w:val="00BB477B"/>
    <w:rsid w:val="00BC62D5"/>
    <w:rsid w:val="00C17DDA"/>
    <w:rsid w:val="00C40097"/>
    <w:rsid w:val="00C572FD"/>
    <w:rsid w:val="00C766E6"/>
    <w:rsid w:val="00C95481"/>
    <w:rsid w:val="00CA1DF7"/>
    <w:rsid w:val="00CF63BD"/>
    <w:rsid w:val="00D01D39"/>
    <w:rsid w:val="00D506D4"/>
    <w:rsid w:val="00D53BBD"/>
    <w:rsid w:val="00D64F17"/>
    <w:rsid w:val="00D65344"/>
    <w:rsid w:val="00D81B2F"/>
    <w:rsid w:val="00D952A2"/>
    <w:rsid w:val="00DA335A"/>
    <w:rsid w:val="00DA609F"/>
    <w:rsid w:val="00DB0AF2"/>
    <w:rsid w:val="00DE4CBB"/>
    <w:rsid w:val="00DE7520"/>
    <w:rsid w:val="00DF7CC5"/>
    <w:rsid w:val="00E14C20"/>
    <w:rsid w:val="00E23307"/>
    <w:rsid w:val="00E40CB3"/>
    <w:rsid w:val="00E53FCD"/>
    <w:rsid w:val="00E67FD5"/>
    <w:rsid w:val="00E83774"/>
    <w:rsid w:val="00EA75CE"/>
    <w:rsid w:val="00EB7092"/>
    <w:rsid w:val="00EC3A5C"/>
    <w:rsid w:val="00F31EF8"/>
    <w:rsid w:val="00F466B1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0" Type="http://schemas.openxmlformats.org/officeDocument/2006/relationships/footer" Target="footer2.xm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2022-02-17T07:08:00Z</dcterms:created>
  <dcterms:modified xsi:type="dcterms:W3CDTF">2022-02-17T07:22:00Z</dcterms:modified>
</cp:coreProperties>
</file>